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409E" w14:textId="2E15929E" w:rsidR="00000000" w:rsidRPr="00F54E54" w:rsidRDefault="00F54E54" w:rsidP="00F54E54">
      <w:pPr>
        <w:jc w:val="center"/>
        <w:rPr>
          <w:sz w:val="32"/>
          <w:szCs w:val="32"/>
        </w:rPr>
      </w:pPr>
      <w:r w:rsidRPr="00F54E54">
        <w:rPr>
          <w:sz w:val="32"/>
          <w:szCs w:val="32"/>
        </w:rPr>
        <w:t>The Standard of Review on Appeal, Revisited</w:t>
      </w:r>
    </w:p>
    <w:p w14:paraId="0267AC52" w14:textId="1701781D" w:rsidR="00F54E54" w:rsidRDefault="00F54E54" w:rsidP="00F54E54">
      <w:pPr>
        <w:jc w:val="center"/>
        <w:rPr>
          <w:sz w:val="32"/>
          <w:szCs w:val="32"/>
        </w:rPr>
      </w:pPr>
      <w:r w:rsidRPr="00F54E54">
        <w:rPr>
          <w:sz w:val="32"/>
          <w:szCs w:val="32"/>
        </w:rPr>
        <w:t>or How to Appeal to the Appellate Courts of Equity</w:t>
      </w:r>
    </w:p>
    <w:p w14:paraId="2E69A79C" w14:textId="3B794DF0" w:rsidR="009B36E0" w:rsidRDefault="009B36E0" w:rsidP="00F54E54">
      <w:pPr>
        <w:jc w:val="center"/>
      </w:pPr>
      <w:r>
        <w:t xml:space="preserve">Hon. Martin J. </w:t>
      </w:r>
      <w:proofErr w:type="spellStart"/>
      <w:r>
        <w:t>Tangeman</w:t>
      </w:r>
      <w:proofErr w:type="spellEnd"/>
      <w:r>
        <w:t>, Ret.</w:t>
      </w:r>
    </w:p>
    <w:p w14:paraId="37AFC408" w14:textId="4CD826C4" w:rsidR="009B36E0" w:rsidRDefault="009B36E0" w:rsidP="00F54E54">
      <w:pPr>
        <w:jc w:val="center"/>
      </w:pPr>
      <w:r>
        <w:t>San Luis Obispo County Bar Association</w:t>
      </w:r>
    </w:p>
    <w:p w14:paraId="1B540E03" w14:textId="332968D0" w:rsidR="009B36E0" w:rsidRPr="009B36E0" w:rsidRDefault="009B36E0" w:rsidP="00F54E54">
      <w:pPr>
        <w:jc w:val="center"/>
      </w:pPr>
      <w:r>
        <w:t>September 15, 2022</w:t>
      </w:r>
    </w:p>
    <w:p w14:paraId="6ABA5E60" w14:textId="0AC38410" w:rsidR="00F54E54" w:rsidRDefault="00F54E54" w:rsidP="00F54E54">
      <w:pPr>
        <w:jc w:val="center"/>
        <w:rPr>
          <w:sz w:val="32"/>
          <w:szCs w:val="32"/>
        </w:rPr>
      </w:pPr>
    </w:p>
    <w:p w14:paraId="09ADFE9B" w14:textId="6107219A" w:rsidR="00F54E54" w:rsidRPr="00F54E54" w:rsidRDefault="00F54E54" w:rsidP="00F54E54">
      <w:pPr>
        <w:rPr>
          <w:rFonts w:cstheme="minorHAnsi"/>
          <w:sz w:val="28"/>
          <w:szCs w:val="28"/>
        </w:rPr>
      </w:pPr>
      <w:r>
        <w:rPr>
          <w:sz w:val="28"/>
          <w:szCs w:val="28"/>
        </w:rPr>
        <w:t xml:space="preserve">California Constitution, Article 6, section 13, </w:t>
      </w:r>
      <w:r w:rsidRPr="00F54E54">
        <w:rPr>
          <w:rFonts w:cstheme="minorHAnsi"/>
          <w:sz w:val="28"/>
          <w:szCs w:val="28"/>
        </w:rPr>
        <w:t>provides:</w:t>
      </w:r>
    </w:p>
    <w:p w14:paraId="69A109E1" w14:textId="6204DD05" w:rsidR="00F54E54" w:rsidRPr="00F54E54" w:rsidRDefault="00F54E54" w:rsidP="00F54E54">
      <w:pPr>
        <w:rPr>
          <w:rFonts w:cstheme="minorHAnsi"/>
          <w:sz w:val="28"/>
          <w:szCs w:val="28"/>
        </w:rPr>
      </w:pPr>
    </w:p>
    <w:p w14:paraId="6F9FF250" w14:textId="4F284321" w:rsidR="00F54E54" w:rsidRDefault="00F54E54" w:rsidP="00F54E54">
      <w:pPr>
        <w:ind w:left="720"/>
        <w:rPr>
          <w:rFonts w:cstheme="minorHAnsi"/>
          <w:sz w:val="28"/>
          <w:szCs w:val="28"/>
        </w:rPr>
      </w:pPr>
      <w:r w:rsidRPr="00F54E54">
        <w:rPr>
          <w:rFonts w:cstheme="minorHAnsi"/>
          <w:sz w:val="28"/>
          <w:szCs w:val="28"/>
        </w:rPr>
        <w:t>No judgment shall be set aside, or new trial granted, in any cause, on the ground of misdirection of the jury, or of the improper admission or rejection of evidence, or for any error as to any matter of pleading, or for any error as to any matter of procedure, unless, after an examination of the entire cause, including the evidence, the court shall be of the opinion that the error complained of has resulted in a miscarriage of justice.</w:t>
      </w:r>
    </w:p>
    <w:p w14:paraId="56A43003" w14:textId="73D2D9EC" w:rsidR="00F54E54" w:rsidRDefault="00F54E54" w:rsidP="00F54E54">
      <w:pPr>
        <w:rPr>
          <w:rFonts w:cstheme="minorHAnsi"/>
          <w:sz w:val="28"/>
          <w:szCs w:val="28"/>
        </w:rPr>
      </w:pPr>
    </w:p>
    <w:p w14:paraId="7AFF3615" w14:textId="4EA7570B" w:rsidR="00F54E54" w:rsidRDefault="00F54E54" w:rsidP="00F54E54">
      <w:pPr>
        <w:rPr>
          <w:rFonts w:cstheme="minorHAnsi"/>
          <w:sz w:val="28"/>
          <w:szCs w:val="28"/>
        </w:rPr>
      </w:pPr>
      <w:r>
        <w:rPr>
          <w:rFonts w:cstheme="minorHAnsi"/>
          <w:sz w:val="28"/>
          <w:szCs w:val="28"/>
        </w:rPr>
        <w:t>Recent cases applying this constitutional standard include:</w:t>
      </w:r>
    </w:p>
    <w:p w14:paraId="04C317D8" w14:textId="4B765A96" w:rsidR="00F54E54" w:rsidRDefault="00F54E54" w:rsidP="00F54E54">
      <w:pPr>
        <w:rPr>
          <w:rFonts w:cstheme="minorHAnsi"/>
          <w:sz w:val="28"/>
          <w:szCs w:val="28"/>
        </w:rPr>
      </w:pPr>
    </w:p>
    <w:p w14:paraId="6FC68402" w14:textId="1E629415" w:rsidR="003609DC" w:rsidRDefault="00F54E54" w:rsidP="00F54E54">
      <w:pPr>
        <w:rPr>
          <w:rFonts w:cstheme="minorHAnsi"/>
          <w:sz w:val="28"/>
          <w:szCs w:val="28"/>
        </w:rPr>
      </w:pPr>
      <w:r>
        <w:rPr>
          <w:rFonts w:cstheme="minorHAnsi"/>
          <w:sz w:val="28"/>
          <w:szCs w:val="28"/>
        </w:rPr>
        <w:t>Juvenile Dependency:</w:t>
      </w:r>
    </w:p>
    <w:p w14:paraId="502FA8EE" w14:textId="3BA144D3" w:rsidR="00F54E54" w:rsidRDefault="00F54E54" w:rsidP="00F54E54">
      <w:pPr>
        <w:rPr>
          <w:rFonts w:cstheme="minorHAnsi"/>
          <w:sz w:val="28"/>
          <w:szCs w:val="28"/>
        </w:rPr>
      </w:pPr>
      <w:r>
        <w:rPr>
          <w:rFonts w:cstheme="minorHAnsi"/>
          <w:i/>
          <w:iCs/>
          <w:sz w:val="28"/>
          <w:szCs w:val="28"/>
        </w:rPr>
        <w:t>In re Y.</w:t>
      </w:r>
      <w:r w:rsidR="004444D2">
        <w:rPr>
          <w:rFonts w:cstheme="minorHAnsi"/>
          <w:i/>
          <w:iCs/>
          <w:sz w:val="28"/>
          <w:szCs w:val="28"/>
        </w:rPr>
        <w:t>M</w:t>
      </w:r>
      <w:r>
        <w:rPr>
          <w:rFonts w:cstheme="minorHAnsi"/>
          <w:i/>
          <w:iCs/>
          <w:sz w:val="28"/>
          <w:szCs w:val="28"/>
        </w:rPr>
        <w:t xml:space="preserve">. </w:t>
      </w:r>
      <w:r>
        <w:rPr>
          <w:rFonts w:cstheme="minorHAnsi"/>
          <w:sz w:val="28"/>
          <w:szCs w:val="28"/>
        </w:rPr>
        <w:t>2022 DJDAR 9554 (Sept. 5, 2022)</w:t>
      </w:r>
    </w:p>
    <w:p w14:paraId="35936850" w14:textId="77777777" w:rsidR="003609DC" w:rsidRDefault="003609DC" w:rsidP="00F54E54">
      <w:pPr>
        <w:rPr>
          <w:rFonts w:cstheme="minorHAnsi"/>
          <w:sz w:val="28"/>
          <w:szCs w:val="28"/>
          <w:u w:val="single"/>
        </w:rPr>
      </w:pPr>
    </w:p>
    <w:p w14:paraId="569D76AE" w14:textId="3A6441EC" w:rsidR="00F54E54" w:rsidRDefault="00F54E54" w:rsidP="00F54E54">
      <w:pPr>
        <w:rPr>
          <w:rFonts w:cstheme="minorHAnsi"/>
          <w:sz w:val="28"/>
          <w:szCs w:val="28"/>
        </w:rPr>
      </w:pPr>
      <w:r>
        <w:rPr>
          <w:rFonts w:cstheme="minorHAnsi"/>
          <w:sz w:val="28"/>
          <w:szCs w:val="28"/>
          <w:u w:val="single"/>
        </w:rPr>
        <w:t>Issue</w:t>
      </w:r>
      <w:r>
        <w:rPr>
          <w:rFonts w:cstheme="minorHAnsi"/>
          <w:sz w:val="28"/>
          <w:szCs w:val="28"/>
        </w:rPr>
        <w:t>: Applicabil</w:t>
      </w:r>
      <w:r w:rsidR="004444D2">
        <w:rPr>
          <w:rFonts w:cstheme="minorHAnsi"/>
          <w:sz w:val="28"/>
          <w:szCs w:val="28"/>
        </w:rPr>
        <w:t>i</w:t>
      </w:r>
      <w:r>
        <w:rPr>
          <w:rFonts w:cstheme="minorHAnsi"/>
          <w:sz w:val="28"/>
          <w:szCs w:val="28"/>
        </w:rPr>
        <w:t>ty of the Indian Child Welfare Act (ICWA) to dependency proceedings.  Trial court terminated parental rights.  On appeal, fath</w:t>
      </w:r>
      <w:r w:rsidR="004444D2">
        <w:rPr>
          <w:rFonts w:cstheme="minorHAnsi"/>
          <w:sz w:val="28"/>
          <w:szCs w:val="28"/>
        </w:rPr>
        <w:t>e</w:t>
      </w:r>
      <w:r>
        <w:rPr>
          <w:rFonts w:cstheme="minorHAnsi"/>
          <w:sz w:val="28"/>
          <w:szCs w:val="28"/>
        </w:rPr>
        <w:t xml:space="preserve">r </w:t>
      </w:r>
      <w:r w:rsidR="004444D2">
        <w:rPr>
          <w:rFonts w:cstheme="minorHAnsi"/>
          <w:sz w:val="28"/>
          <w:szCs w:val="28"/>
        </w:rPr>
        <w:t>c</w:t>
      </w:r>
      <w:r>
        <w:rPr>
          <w:rFonts w:cstheme="minorHAnsi"/>
          <w:sz w:val="28"/>
          <w:szCs w:val="28"/>
        </w:rPr>
        <w:t xml:space="preserve">ontended court erred in failing to </w:t>
      </w:r>
      <w:r w:rsidR="004444D2">
        <w:rPr>
          <w:rFonts w:cstheme="minorHAnsi"/>
          <w:sz w:val="28"/>
          <w:szCs w:val="28"/>
        </w:rPr>
        <w:t>c</w:t>
      </w:r>
      <w:r>
        <w:rPr>
          <w:rFonts w:cstheme="minorHAnsi"/>
          <w:sz w:val="28"/>
          <w:szCs w:val="28"/>
        </w:rPr>
        <w:t>onduct required inquiry of Y.M.’s extend</w:t>
      </w:r>
      <w:r w:rsidR="004444D2">
        <w:rPr>
          <w:rFonts w:cstheme="minorHAnsi"/>
          <w:sz w:val="28"/>
          <w:szCs w:val="28"/>
        </w:rPr>
        <w:t>e</w:t>
      </w:r>
      <w:r>
        <w:rPr>
          <w:rFonts w:cstheme="minorHAnsi"/>
          <w:sz w:val="28"/>
          <w:szCs w:val="28"/>
        </w:rPr>
        <w:t>d family memb</w:t>
      </w:r>
      <w:r w:rsidR="004444D2">
        <w:rPr>
          <w:rFonts w:cstheme="minorHAnsi"/>
          <w:sz w:val="28"/>
          <w:szCs w:val="28"/>
        </w:rPr>
        <w:t>e</w:t>
      </w:r>
      <w:r>
        <w:rPr>
          <w:rFonts w:cstheme="minorHAnsi"/>
          <w:sz w:val="28"/>
          <w:szCs w:val="28"/>
        </w:rPr>
        <w:t>rs (whether any reason to belie</w:t>
      </w:r>
      <w:r w:rsidR="004444D2">
        <w:rPr>
          <w:rFonts w:cstheme="minorHAnsi"/>
          <w:sz w:val="28"/>
          <w:szCs w:val="28"/>
        </w:rPr>
        <w:t>ve</w:t>
      </w:r>
      <w:r>
        <w:rPr>
          <w:rFonts w:cstheme="minorHAnsi"/>
          <w:sz w:val="28"/>
          <w:szCs w:val="28"/>
        </w:rPr>
        <w:t xml:space="preserve"> Y.M. might be Indian child). Welfare agency con</w:t>
      </w:r>
      <w:r w:rsidR="003D42D0">
        <w:rPr>
          <w:rFonts w:cstheme="minorHAnsi"/>
          <w:sz w:val="28"/>
          <w:szCs w:val="28"/>
        </w:rPr>
        <w:t xml:space="preserve">ceded failure to conduct mandatory inquiry of paternal grandparents and uncle.  </w:t>
      </w:r>
    </w:p>
    <w:p w14:paraId="1BB5212D" w14:textId="77777777" w:rsidR="003609DC" w:rsidRDefault="003609DC" w:rsidP="00F54E54">
      <w:pPr>
        <w:rPr>
          <w:rFonts w:cstheme="minorHAnsi"/>
          <w:sz w:val="28"/>
          <w:szCs w:val="28"/>
          <w:u w:val="single"/>
        </w:rPr>
      </w:pPr>
    </w:p>
    <w:p w14:paraId="6A8C261F" w14:textId="731585A6" w:rsidR="003D42D0" w:rsidRDefault="003D42D0" w:rsidP="00F54E54">
      <w:pPr>
        <w:rPr>
          <w:rFonts w:cstheme="minorHAnsi"/>
          <w:sz w:val="28"/>
          <w:szCs w:val="28"/>
        </w:rPr>
      </w:pPr>
      <w:r>
        <w:rPr>
          <w:rFonts w:cstheme="minorHAnsi"/>
          <w:sz w:val="28"/>
          <w:szCs w:val="28"/>
          <w:u w:val="single"/>
        </w:rPr>
        <w:t>Affirmed</w:t>
      </w:r>
      <w:r>
        <w:rPr>
          <w:rFonts w:cstheme="minorHAnsi"/>
          <w:sz w:val="28"/>
          <w:szCs w:val="28"/>
        </w:rPr>
        <w:t xml:space="preserve"> despite error based on harmless error standard of Article 6, section 13.  DCA concluded that father failed to carry burden to show miscarriage of justice because only offered speculation as to possible response of relatives.</w:t>
      </w:r>
    </w:p>
    <w:p w14:paraId="6EB019A6" w14:textId="77777777" w:rsidR="003609DC" w:rsidRDefault="003609DC" w:rsidP="00F54E54">
      <w:pPr>
        <w:rPr>
          <w:rFonts w:cstheme="minorHAnsi"/>
          <w:sz w:val="28"/>
          <w:szCs w:val="28"/>
          <w:u w:val="single"/>
        </w:rPr>
      </w:pPr>
    </w:p>
    <w:p w14:paraId="01A42F88" w14:textId="0EC6762B" w:rsidR="003D42D0" w:rsidRDefault="003D42D0" w:rsidP="00F54E54">
      <w:pPr>
        <w:rPr>
          <w:rFonts w:cstheme="minorHAnsi"/>
          <w:sz w:val="28"/>
          <w:szCs w:val="28"/>
        </w:rPr>
      </w:pPr>
      <w:r>
        <w:rPr>
          <w:rFonts w:cstheme="minorHAnsi"/>
          <w:sz w:val="28"/>
          <w:szCs w:val="28"/>
          <w:u w:val="single"/>
        </w:rPr>
        <w:t>Note</w:t>
      </w:r>
      <w:r>
        <w:rPr>
          <w:rFonts w:cstheme="minorHAnsi"/>
          <w:sz w:val="28"/>
          <w:szCs w:val="28"/>
        </w:rPr>
        <w:t>: Split of authority; another view is reversal per se (harmless eror analysis)</w:t>
      </w:r>
    </w:p>
    <w:p w14:paraId="185C1BD7" w14:textId="20A4BB42" w:rsidR="003D42D0" w:rsidRDefault="003D42D0" w:rsidP="00F54E54">
      <w:pPr>
        <w:rPr>
          <w:rFonts w:cstheme="minorHAnsi"/>
          <w:sz w:val="28"/>
          <w:szCs w:val="28"/>
        </w:rPr>
      </w:pPr>
    </w:p>
    <w:p w14:paraId="5514DD44" w14:textId="77777777" w:rsidR="009B36E0" w:rsidRDefault="009B36E0">
      <w:pPr>
        <w:rPr>
          <w:rFonts w:cstheme="minorHAnsi"/>
          <w:sz w:val="28"/>
          <w:szCs w:val="28"/>
        </w:rPr>
      </w:pPr>
      <w:r>
        <w:rPr>
          <w:rFonts w:cstheme="minorHAnsi"/>
          <w:sz w:val="28"/>
          <w:szCs w:val="28"/>
        </w:rPr>
        <w:br w:type="page"/>
      </w:r>
    </w:p>
    <w:p w14:paraId="25C1F1AB" w14:textId="56A6B905" w:rsidR="003609DC" w:rsidRPr="003609DC" w:rsidRDefault="003D42D0" w:rsidP="00F54E54">
      <w:pPr>
        <w:rPr>
          <w:rFonts w:cstheme="minorHAnsi"/>
          <w:sz w:val="28"/>
          <w:szCs w:val="28"/>
        </w:rPr>
      </w:pPr>
      <w:r>
        <w:rPr>
          <w:rFonts w:cstheme="minorHAnsi"/>
          <w:sz w:val="28"/>
          <w:szCs w:val="28"/>
        </w:rPr>
        <w:lastRenderedPageBreak/>
        <w:t>Criminal:</w:t>
      </w:r>
    </w:p>
    <w:p w14:paraId="0C2C3AA6" w14:textId="74D4E0D3" w:rsidR="003D42D0" w:rsidRDefault="003D42D0" w:rsidP="00F54E54">
      <w:pPr>
        <w:rPr>
          <w:rFonts w:cstheme="minorHAnsi"/>
          <w:sz w:val="28"/>
          <w:szCs w:val="28"/>
        </w:rPr>
      </w:pPr>
      <w:r>
        <w:rPr>
          <w:rFonts w:cstheme="minorHAnsi"/>
          <w:i/>
          <w:iCs/>
          <w:sz w:val="28"/>
          <w:szCs w:val="28"/>
        </w:rPr>
        <w:t xml:space="preserve">People v. Salazar </w:t>
      </w:r>
      <w:r>
        <w:rPr>
          <w:rFonts w:cstheme="minorHAnsi"/>
          <w:sz w:val="28"/>
          <w:szCs w:val="28"/>
        </w:rPr>
        <w:t>2022 DSDAR 6762 (June 28, 2022)</w:t>
      </w:r>
    </w:p>
    <w:p w14:paraId="504C68F0" w14:textId="77777777" w:rsidR="003609DC" w:rsidRDefault="003609DC" w:rsidP="00F54E54">
      <w:pPr>
        <w:rPr>
          <w:rFonts w:cstheme="minorHAnsi"/>
          <w:sz w:val="28"/>
          <w:szCs w:val="28"/>
          <w:u w:val="single"/>
        </w:rPr>
      </w:pPr>
    </w:p>
    <w:p w14:paraId="67DCF9C4" w14:textId="066984AA" w:rsidR="003D42D0" w:rsidRDefault="003D42D0" w:rsidP="00F54E54">
      <w:pPr>
        <w:rPr>
          <w:rFonts w:cstheme="minorHAnsi"/>
          <w:sz w:val="28"/>
          <w:szCs w:val="28"/>
        </w:rPr>
      </w:pPr>
      <w:r>
        <w:rPr>
          <w:rFonts w:cstheme="minorHAnsi"/>
          <w:sz w:val="28"/>
          <w:szCs w:val="28"/>
          <w:u w:val="single"/>
        </w:rPr>
        <w:t>Issue</w:t>
      </w:r>
      <w:r>
        <w:rPr>
          <w:rFonts w:cstheme="minorHAnsi"/>
          <w:sz w:val="28"/>
          <w:szCs w:val="28"/>
        </w:rPr>
        <w:t xml:space="preserve">: Applicability of SB 567 to sentencing. Trial court sentenced defendant convicted of </w:t>
      </w:r>
      <w:r w:rsidR="003609DC">
        <w:rPr>
          <w:rFonts w:cstheme="minorHAnsi"/>
          <w:sz w:val="28"/>
          <w:szCs w:val="28"/>
        </w:rPr>
        <w:t>f</w:t>
      </w:r>
      <w:r>
        <w:rPr>
          <w:rFonts w:cstheme="minorHAnsi"/>
          <w:sz w:val="28"/>
          <w:szCs w:val="28"/>
        </w:rPr>
        <w:t>alse imprisonment and infliction of corporal injury to midterm prison sentence.  After sentencing, legislature enacted SB 567 requiring low term sentencing wher</w:t>
      </w:r>
      <w:r w:rsidR="003609DC">
        <w:rPr>
          <w:rFonts w:cstheme="minorHAnsi"/>
          <w:sz w:val="28"/>
          <w:szCs w:val="28"/>
        </w:rPr>
        <w:t>e</w:t>
      </w:r>
      <w:r>
        <w:rPr>
          <w:rFonts w:cstheme="minorHAnsi"/>
          <w:sz w:val="28"/>
          <w:szCs w:val="28"/>
        </w:rPr>
        <w:t xml:space="preserve"> childhood trauma to defendant was contributing factor in offense, unless contrary to interests of justice.  AG conceded SB 567 applies retroactively on appeal.  </w:t>
      </w:r>
    </w:p>
    <w:p w14:paraId="19131FBD" w14:textId="77777777" w:rsidR="003609DC" w:rsidRDefault="003609DC" w:rsidP="00F54E54">
      <w:pPr>
        <w:rPr>
          <w:rFonts w:cstheme="minorHAnsi"/>
          <w:sz w:val="28"/>
          <w:szCs w:val="28"/>
        </w:rPr>
      </w:pPr>
    </w:p>
    <w:p w14:paraId="1CC4BA74" w14:textId="38B42719" w:rsidR="003D42D0" w:rsidRDefault="003D42D0" w:rsidP="00F54E54">
      <w:pPr>
        <w:rPr>
          <w:rFonts w:cstheme="minorHAnsi"/>
          <w:sz w:val="28"/>
          <w:szCs w:val="28"/>
        </w:rPr>
      </w:pPr>
      <w:r>
        <w:rPr>
          <w:rFonts w:cstheme="minorHAnsi"/>
          <w:sz w:val="28"/>
          <w:szCs w:val="28"/>
          <w:u w:val="single"/>
        </w:rPr>
        <w:t>Affirmed</w:t>
      </w:r>
      <w:r>
        <w:rPr>
          <w:rFonts w:cstheme="minorHAnsi"/>
          <w:sz w:val="28"/>
          <w:szCs w:val="28"/>
        </w:rPr>
        <w:t xml:space="preserve"> without remand for resentencing because defendant had lengthy criminal record, five prior prison commitments, and “current offenses were aggravated, sadistic . . .a</w:t>
      </w:r>
      <w:r w:rsidR="003609DC">
        <w:rPr>
          <w:rFonts w:cstheme="minorHAnsi"/>
          <w:sz w:val="28"/>
          <w:szCs w:val="28"/>
        </w:rPr>
        <w:t>n</w:t>
      </w:r>
      <w:r>
        <w:rPr>
          <w:rFonts w:cstheme="minorHAnsi"/>
          <w:sz w:val="28"/>
          <w:szCs w:val="28"/>
        </w:rPr>
        <w:t xml:space="preserve">d akin to torture” making midterm sentence “lenient” – </w:t>
      </w:r>
      <w:r w:rsidR="009B36E0">
        <w:rPr>
          <w:rFonts w:cstheme="minorHAnsi"/>
          <w:sz w:val="28"/>
          <w:szCs w:val="28"/>
        </w:rPr>
        <w:t>thus</w:t>
      </w:r>
      <w:r>
        <w:rPr>
          <w:rFonts w:cstheme="minorHAnsi"/>
          <w:sz w:val="28"/>
          <w:szCs w:val="28"/>
        </w:rPr>
        <w:t xml:space="preserve"> </w:t>
      </w:r>
      <w:r w:rsidR="004444D2">
        <w:rPr>
          <w:rFonts w:cstheme="minorHAnsi"/>
          <w:sz w:val="28"/>
          <w:szCs w:val="28"/>
        </w:rPr>
        <w:t>appellate court</w:t>
      </w:r>
      <w:r>
        <w:rPr>
          <w:rFonts w:cstheme="minorHAnsi"/>
          <w:sz w:val="28"/>
          <w:szCs w:val="28"/>
        </w:rPr>
        <w:t xml:space="preserve"> concluded no miscarriage of justice resulted, pursuant to section 13. </w:t>
      </w:r>
    </w:p>
    <w:p w14:paraId="2C40C14E" w14:textId="4B448F6C" w:rsidR="003609DC" w:rsidRDefault="003609DC" w:rsidP="00F54E54">
      <w:pPr>
        <w:rPr>
          <w:rFonts w:cstheme="minorHAnsi"/>
          <w:sz w:val="28"/>
          <w:szCs w:val="28"/>
        </w:rPr>
      </w:pPr>
    </w:p>
    <w:p w14:paraId="203F0405" w14:textId="7C16673D" w:rsidR="003609DC" w:rsidRDefault="003609DC" w:rsidP="00F54E54">
      <w:pPr>
        <w:rPr>
          <w:rFonts w:cstheme="minorHAnsi"/>
          <w:sz w:val="28"/>
          <w:szCs w:val="28"/>
        </w:rPr>
      </w:pPr>
      <w:r>
        <w:rPr>
          <w:rFonts w:cstheme="minorHAnsi"/>
          <w:sz w:val="28"/>
          <w:szCs w:val="28"/>
        </w:rPr>
        <w:t>Civil:</w:t>
      </w:r>
    </w:p>
    <w:p w14:paraId="02837EA8" w14:textId="65971758" w:rsidR="003609DC" w:rsidRDefault="003609DC" w:rsidP="00F54E54">
      <w:pPr>
        <w:rPr>
          <w:rFonts w:cstheme="minorHAnsi"/>
          <w:sz w:val="28"/>
          <w:szCs w:val="28"/>
        </w:rPr>
      </w:pPr>
      <w:r>
        <w:rPr>
          <w:rFonts w:cstheme="minorHAnsi"/>
          <w:i/>
          <w:iCs/>
          <w:sz w:val="28"/>
          <w:szCs w:val="28"/>
        </w:rPr>
        <w:t xml:space="preserve">San Diego Gas &amp; Electric Co. v Schmidt </w:t>
      </w:r>
      <w:r>
        <w:rPr>
          <w:rFonts w:cstheme="minorHAnsi"/>
          <w:sz w:val="28"/>
          <w:szCs w:val="28"/>
        </w:rPr>
        <w:t>z(2014) 228 Cal.App.4</w:t>
      </w:r>
      <w:r w:rsidRPr="003609DC">
        <w:rPr>
          <w:rFonts w:cstheme="minorHAnsi"/>
          <w:sz w:val="28"/>
          <w:szCs w:val="28"/>
          <w:vertAlign w:val="superscript"/>
        </w:rPr>
        <w:t>th</w:t>
      </w:r>
      <w:r>
        <w:rPr>
          <w:rFonts w:cstheme="minorHAnsi"/>
          <w:sz w:val="28"/>
          <w:szCs w:val="28"/>
        </w:rPr>
        <w:t xml:space="preserve"> 1280</w:t>
      </w:r>
    </w:p>
    <w:p w14:paraId="706779EF" w14:textId="77777777" w:rsidR="004444D2" w:rsidRDefault="004444D2" w:rsidP="00F54E54">
      <w:pPr>
        <w:rPr>
          <w:rFonts w:cstheme="minorHAnsi"/>
          <w:sz w:val="28"/>
          <w:szCs w:val="28"/>
        </w:rPr>
      </w:pPr>
    </w:p>
    <w:p w14:paraId="5E9F188E" w14:textId="581ACB98" w:rsidR="003609DC" w:rsidRDefault="003609DC" w:rsidP="00F54E54">
      <w:pPr>
        <w:rPr>
          <w:rFonts w:cstheme="minorHAnsi"/>
          <w:sz w:val="28"/>
          <w:szCs w:val="28"/>
        </w:rPr>
      </w:pPr>
      <w:r>
        <w:rPr>
          <w:rFonts w:cstheme="minorHAnsi"/>
          <w:sz w:val="28"/>
          <w:szCs w:val="28"/>
          <w:u w:val="single"/>
        </w:rPr>
        <w:t>Issue</w:t>
      </w:r>
      <w:r>
        <w:rPr>
          <w:rFonts w:cstheme="minorHAnsi"/>
          <w:sz w:val="28"/>
          <w:szCs w:val="28"/>
        </w:rPr>
        <w:t>: whether erro</w:t>
      </w:r>
      <w:r w:rsidR="009B36E0">
        <w:rPr>
          <w:rFonts w:cstheme="minorHAnsi"/>
          <w:sz w:val="28"/>
          <w:szCs w:val="28"/>
        </w:rPr>
        <w:t xml:space="preserve">neous exclusion of </w:t>
      </w:r>
      <w:r>
        <w:rPr>
          <w:rFonts w:cstheme="minorHAnsi"/>
          <w:sz w:val="28"/>
          <w:szCs w:val="28"/>
        </w:rPr>
        <w:t xml:space="preserve">evidence required </w:t>
      </w:r>
      <w:r w:rsidR="009B36E0">
        <w:rPr>
          <w:rFonts w:cstheme="minorHAnsi"/>
          <w:sz w:val="28"/>
          <w:szCs w:val="28"/>
        </w:rPr>
        <w:t xml:space="preserve">reversal </w:t>
      </w:r>
      <w:r>
        <w:rPr>
          <w:rFonts w:cstheme="minorHAnsi"/>
          <w:sz w:val="28"/>
          <w:szCs w:val="28"/>
        </w:rPr>
        <w:t xml:space="preserve">of judgment.  Eminent domain </w:t>
      </w:r>
      <w:proofErr w:type="gramStart"/>
      <w:r>
        <w:rPr>
          <w:rFonts w:cstheme="minorHAnsi"/>
          <w:sz w:val="28"/>
          <w:szCs w:val="28"/>
        </w:rPr>
        <w:t>proceedings;</w:t>
      </w:r>
      <w:proofErr w:type="gramEnd"/>
      <w:r>
        <w:rPr>
          <w:rFonts w:cstheme="minorHAnsi"/>
          <w:sz w:val="28"/>
          <w:szCs w:val="28"/>
        </w:rPr>
        <w:t xml:space="preserve"> government’s expert testified highest and best use was residential, loss valued at $712,000. Property owner’s expert testified </w:t>
      </w:r>
      <w:proofErr w:type="gramStart"/>
      <w:r>
        <w:rPr>
          <w:rFonts w:cstheme="minorHAnsi"/>
          <w:sz w:val="28"/>
          <w:szCs w:val="28"/>
        </w:rPr>
        <w:t>open-pit</w:t>
      </w:r>
      <w:proofErr w:type="gramEnd"/>
      <w:r>
        <w:rPr>
          <w:rFonts w:cstheme="minorHAnsi"/>
          <w:sz w:val="28"/>
          <w:szCs w:val="28"/>
        </w:rPr>
        <w:t xml:space="preserve"> mine was possible allowable use, loss valued at $8</w:t>
      </w:r>
      <w:r w:rsidR="009B36E0">
        <w:rPr>
          <w:rFonts w:cstheme="minorHAnsi"/>
          <w:sz w:val="28"/>
          <w:szCs w:val="28"/>
        </w:rPr>
        <w:t>,0</w:t>
      </w:r>
      <w:r>
        <w:rPr>
          <w:rFonts w:cstheme="minorHAnsi"/>
          <w:sz w:val="28"/>
          <w:szCs w:val="28"/>
        </w:rPr>
        <w:t>00,000.  Jury found for property owner.  Trial court erred when it sustained hear</w:t>
      </w:r>
      <w:r w:rsidR="004444D2">
        <w:rPr>
          <w:rFonts w:cstheme="minorHAnsi"/>
          <w:sz w:val="28"/>
          <w:szCs w:val="28"/>
        </w:rPr>
        <w:t>s</w:t>
      </w:r>
      <w:r>
        <w:rPr>
          <w:rFonts w:cstheme="minorHAnsi"/>
          <w:sz w:val="28"/>
          <w:szCs w:val="28"/>
        </w:rPr>
        <w:t>ay obje</w:t>
      </w:r>
      <w:r w:rsidR="004444D2">
        <w:rPr>
          <w:rFonts w:cstheme="minorHAnsi"/>
          <w:sz w:val="28"/>
          <w:szCs w:val="28"/>
        </w:rPr>
        <w:t>ct</w:t>
      </w:r>
      <w:r>
        <w:rPr>
          <w:rFonts w:cstheme="minorHAnsi"/>
          <w:sz w:val="28"/>
          <w:szCs w:val="28"/>
        </w:rPr>
        <w:t xml:space="preserve">ions to questions posed to property owner’s expert </w:t>
      </w:r>
      <w:r w:rsidR="004444D2">
        <w:rPr>
          <w:rFonts w:cstheme="minorHAnsi"/>
          <w:sz w:val="28"/>
          <w:szCs w:val="28"/>
        </w:rPr>
        <w:t xml:space="preserve">about what government planner/geologist told expert about viability of </w:t>
      </w:r>
      <w:proofErr w:type="gramStart"/>
      <w:r w:rsidR="004444D2">
        <w:rPr>
          <w:rFonts w:cstheme="minorHAnsi"/>
          <w:sz w:val="28"/>
          <w:szCs w:val="28"/>
        </w:rPr>
        <w:t>open-pit</w:t>
      </w:r>
      <w:proofErr w:type="gramEnd"/>
      <w:r w:rsidR="004444D2">
        <w:rPr>
          <w:rFonts w:cstheme="minorHAnsi"/>
          <w:sz w:val="28"/>
          <w:szCs w:val="28"/>
        </w:rPr>
        <w:t xml:space="preserve"> mine permit (uncertain permit would be granted).</w:t>
      </w:r>
    </w:p>
    <w:p w14:paraId="3B635BC3" w14:textId="6DC42007" w:rsidR="004444D2" w:rsidRDefault="004444D2" w:rsidP="00F54E54">
      <w:pPr>
        <w:rPr>
          <w:rFonts w:cstheme="minorHAnsi"/>
          <w:sz w:val="28"/>
          <w:szCs w:val="28"/>
        </w:rPr>
      </w:pPr>
    </w:p>
    <w:p w14:paraId="180DA4BB" w14:textId="43D53676" w:rsidR="004444D2" w:rsidRPr="004444D2" w:rsidRDefault="004444D2" w:rsidP="00F54E54">
      <w:pPr>
        <w:rPr>
          <w:rFonts w:cstheme="minorHAnsi"/>
          <w:sz w:val="28"/>
          <w:szCs w:val="28"/>
        </w:rPr>
      </w:pPr>
      <w:r>
        <w:rPr>
          <w:rFonts w:cstheme="minorHAnsi"/>
          <w:sz w:val="28"/>
          <w:szCs w:val="28"/>
          <w:u w:val="single"/>
        </w:rPr>
        <w:t>Affirmed</w:t>
      </w:r>
      <w:r>
        <w:rPr>
          <w:rFonts w:cstheme="minorHAnsi"/>
          <w:sz w:val="28"/>
          <w:szCs w:val="28"/>
        </w:rPr>
        <w:t>: despite error. No miscarriage of justice resulted because “it is unlikely the response played any part in forming the basis of [expert’s] opinion.”</w:t>
      </w:r>
    </w:p>
    <w:p w14:paraId="3CC7D0A8" w14:textId="77777777" w:rsidR="003D42D0" w:rsidRPr="003D42D0" w:rsidRDefault="003D42D0" w:rsidP="00F54E54">
      <w:pPr>
        <w:rPr>
          <w:rFonts w:cstheme="minorHAnsi"/>
          <w:sz w:val="28"/>
          <w:szCs w:val="28"/>
        </w:rPr>
      </w:pPr>
    </w:p>
    <w:sectPr w:rsidR="003D42D0" w:rsidRPr="003D42D0" w:rsidSect="00C1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54"/>
    <w:rsid w:val="0000704D"/>
    <w:rsid w:val="00140A1B"/>
    <w:rsid w:val="003609DC"/>
    <w:rsid w:val="003A1CB7"/>
    <w:rsid w:val="003D42D0"/>
    <w:rsid w:val="004444D2"/>
    <w:rsid w:val="007A06FF"/>
    <w:rsid w:val="009B36E0"/>
    <w:rsid w:val="00C15C48"/>
    <w:rsid w:val="00F54E54"/>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80288"/>
  <w15:docId w15:val="{D576D9E4-B903-4B46-BC4A-5C39BD1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Graham</dc:creator>
  <cp:keywords/>
  <dc:description/>
  <cp:lastModifiedBy>Katy Graham</cp:lastModifiedBy>
  <cp:revision>2</cp:revision>
  <dcterms:created xsi:type="dcterms:W3CDTF">2022-09-10T00:37:00Z</dcterms:created>
  <dcterms:modified xsi:type="dcterms:W3CDTF">2022-09-10T00:37:00Z</dcterms:modified>
</cp:coreProperties>
</file>